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
          <w:color w:val="0F243E" w:themeColor="text2" w:themeShade="80"/>
          <w:sz w:val="18"/>
          <w:szCs w:val="18"/>
        </w:rPr>
      </w:pPr>
      <w:r>
        <w:rPr>
          <w:rFonts w:ascii="Arial" w:hAnsi="Arial" w:cs="Arial"/>
          <w:b/>
          <w:color w:val="0F243E" w:themeColor="text2" w:themeShade="80"/>
          <w:sz w:val="48"/>
          <w:szCs w:val="48"/>
        </w:rPr>
        <w:t>VITRONIC-Gruppe bestätigt geplante Akquisition durch     ITIS Holding, ein Unternehmen der PPF-Gruppe</w:t>
      </w:r>
    </w:p>
    <w:p>
      <w:pPr>
        <w:pStyle w:val="StandardWeb"/>
        <w:spacing w:line="360" w:lineRule="auto"/>
        <w:rPr>
          <w:rFonts w:ascii="Arial" w:hAnsi="Arial" w:cs="Arial"/>
          <w:bCs/>
          <w:color w:val="0F243E" w:themeColor="text2" w:themeShade="80"/>
        </w:rPr>
      </w:pPr>
      <w:r>
        <w:rPr>
          <w:rFonts w:ascii="Arial" w:hAnsi="Arial" w:cs="Arial"/>
          <w:b/>
          <w:color w:val="0F243E" w:themeColor="text2" w:themeShade="80"/>
        </w:rPr>
        <w:t>Wiesbaden, 31.01.2024</w:t>
      </w:r>
    </w:p>
    <w:p>
      <w:pPr>
        <w:pStyle w:val="StandardWeb"/>
        <w:spacing w:line="360" w:lineRule="auto"/>
        <w:rPr>
          <w:rFonts w:ascii="Arial" w:hAnsi="Arial" w:cs="Arial"/>
        </w:rPr>
      </w:pPr>
      <w:r>
        <w:rPr>
          <w:rFonts w:ascii="Arial" w:hAnsi="Arial" w:cs="Arial"/>
        </w:rPr>
        <w:t xml:space="preserve">Die VITRONIC-Gruppe gab heute die geplante Akquisition durch die ITIS Holding, ein Unternehmen der PPF-Gruppe, bekannt. Mit diesem Schritt werden die Stärken beider Unternehmen gebündelt und ein weltweit agierender Branchenführer für intelligente Verkehrs-, Infrastruktur- und Automatisierungslösungen geschaffen. </w:t>
      </w:r>
    </w:p>
    <w:p>
      <w:pPr>
        <w:pStyle w:val="StandardWeb"/>
        <w:spacing w:line="360" w:lineRule="auto"/>
        <w:rPr>
          <w:rFonts w:ascii="Arial" w:hAnsi="Arial" w:cs="Arial"/>
        </w:rPr>
      </w:pPr>
      <w:r>
        <w:rPr>
          <w:rFonts w:ascii="Arial" w:hAnsi="Arial" w:cs="Arial"/>
        </w:rPr>
        <w:t>Diese strategische Allianz ermöglicht ein erhebliches Wachstum und verstärkt zudem das Engagement beider Partner für Innovationen und erstklassige Dienstleistungen, die auf die Bedürfnisse der Kunden zugeschnitten sind und eine breite Palette an Lösungen bieten.</w:t>
      </w:r>
    </w:p>
    <w:p>
      <w:pPr>
        <w:pStyle w:val="StandardWeb"/>
        <w:spacing w:line="360" w:lineRule="auto"/>
        <w:rPr>
          <w:rFonts w:ascii="Arial" w:hAnsi="Arial" w:cs="Arial"/>
        </w:rPr>
      </w:pPr>
      <w:r>
        <w:rPr>
          <w:rFonts w:ascii="Arial" w:hAnsi="Arial" w:cs="Arial"/>
        </w:rPr>
        <w:t>Die VITRONIC-Gruppe ist seit vierzig Jahren ein Innovationstreiber auf dem Gebiet der industriellen Bildverarbeitung. Mit Aktivitäten in den Bereichen Verkehrskontrolle, Mautsysteme und Industrieautomation ist VITRONIC weltweit in zahlreichen Branchen und Märkten vertreten und damit ein weltweit führender Anbieter von Bildverarbeitungslösungen.</w:t>
      </w:r>
    </w:p>
    <w:p>
      <w:pPr>
        <w:pStyle w:val="StandardWeb"/>
        <w:spacing w:line="360" w:lineRule="auto"/>
        <w:rPr>
          <w:rFonts w:ascii="Arial" w:hAnsi="Arial" w:cs="Arial"/>
        </w:rPr>
      </w:pPr>
    </w:p>
    <w:p>
      <w:pPr>
        <w:pStyle w:val="StandardWeb"/>
        <w:spacing w:line="360" w:lineRule="auto"/>
        <w:rPr>
          <w:rFonts w:ascii="Arial" w:hAnsi="Arial" w:cs="Arial"/>
        </w:rPr>
      </w:pPr>
      <w:r>
        <w:rPr>
          <w:rFonts w:ascii="Arial" w:hAnsi="Arial" w:cs="Arial"/>
        </w:rPr>
        <w:lastRenderedPageBreak/>
        <w:t>Die ITIS Holding, ein langjähriger Marktführer im Betrieb von Mautsystemen, deckt die Aktivitäten der PPF-Gruppe im Bereich der Investitionen in intelligente Verkehrsinfrastruktur ab. Die Erweiterung der ITIS Holding durch die VITRONIC Gruppe verstärkt das Gesamtportfolio mit verschiedenen Technologien, erweitert die F&amp;E- und Innovationskapazitäten und beschleunigt das globale Wachstum.</w:t>
      </w:r>
    </w:p>
    <w:p>
      <w:pPr>
        <w:pStyle w:val="StandardWeb"/>
        <w:spacing w:line="360" w:lineRule="auto"/>
        <w:rPr>
          <w:rFonts w:ascii="Arial" w:hAnsi="Arial" w:cs="Arial"/>
        </w:rPr>
      </w:pPr>
      <w:r>
        <w:rPr>
          <w:rFonts w:ascii="Arial" w:hAnsi="Arial" w:cs="Arial"/>
        </w:rPr>
        <w:t>PPF Group ist eine internationale Investmentgruppe, die 1991 in der Tschechischen Republik gegründet wurde.  PPF investiert in Unternehmen, die Innovation und fortschrittliche Technologien mit effizientem Management und Betrieb kombinieren. Mit Stichtag 30. Juni 2023 hält die Gruppe Anteile im Gesamtwert von 43,5 Milliarden EURO und beschäftigt global 52.000 Mitarbeitende.</w:t>
      </w:r>
    </w:p>
    <w:p>
      <w:pPr>
        <w:pStyle w:val="StandardWeb"/>
        <w:spacing w:line="360" w:lineRule="auto"/>
        <w:rPr>
          <w:rFonts w:ascii="Arial" w:hAnsi="Arial" w:cs="Arial"/>
        </w:rPr>
      </w:pPr>
      <w:r>
        <w:rPr>
          <w:rFonts w:ascii="Arial" w:hAnsi="Arial" w:cs="Arial"/>
        </w:rPr>
        <w:t>Die Transaktion kombiniert Technologieführerschaft mit hoher Betriebskompetenz und bringt zusätzlich noch signifikante Vorteile in der Abdeckung weltweiter Märkte.</w:t>
      </w:r>
    </w:p>
    <w:p>
      <w:pPr>
        <w:pStyle w:val="StandardWeb"/>
        <w:spacing w:line="360" w:lineRule="auto"/>
        <w:rPr>
          <w:rFonts w:ascii="Arial" w:hAnsi="Arial" w:cs="Arial"/>
        </w:rPr>
      </w:pPr>
      <w:r>
        <w:rPr>
          <w:rFonts w:ascii="Arial" w:hAnsi="Arial" w:cs="Arial"/>
        </w:rPr>
        <w:t>Die ITIS Holding ist in den mittel- und osteuropäischen Ländern - insbesondere den Balkanländern – tätig und deckt auch Indonesien und Indien ab. Die VITRONIC Gruppe bedient dagegen hauptsächlich Märkte in Nord- und Südamerika, Europa, Mittleren Osten, Asien, Afrika und Ozeanien.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Arial" w:hAnsi="Arial" w:cs="Arial"/>
          <w:szCs w:val="24"/>
        </w:rPr>
      </w:pPr>
      <w:r>
        <w:rPr>
          <w:rFonts w:ascii="Arial" w:hAnsi="Arial" w:cs="Arial"/>
          <w:szCs w:val="24"/>
        </w:rPr>
        <w:t xml:space="preserve">„Wir freuen uns das Wachstum der VITRONIC durch enge Zusammenarbeit mit der </w:t>
      </w:r>
      <w:proofErr w:type="gramStart"/>
      <w:r>
        <w:rPr>
          <w:rFonts w:ascii="Arial" w:hAnsi="Arial" w:cs="Arial"/>
          <w:szCs w:val="24"/>
        </w:rPr>
        <w:t>ITIS Gruppe</w:t>
      </w:r>
      <w:proofErr w:type="gramEnd"/>
      <w:r>
        <w:rPr>
          <w:rFonts w:ascii="Arial" w:hAnsi="Arial" w:cs="Arial"/>
          <w:szCs w:val="24"/>
        </w:rPr>
        <w:t xml:space="preserve"> fortzusetzen. Durch diesen Schritt erweitern wir unsere globale Reichweite, unsere Forschungs- und Entwicklungskapazitäten und </w:t>
      </w:r>
      <w:proofErr w:type="gramStart"/>
      <w:r>
        <w:rPr>
          <w:rFonts w:ascii="Arial" w:hAnsi="Arial" w:cs="Arial"/>
          <w:szCs w:val="24"/>
        </w:rPr>
        <w:t>Betreiberkompetenzen</w:t>
      </w:r>
      <w:proofErr w:type="gramEnd"/>
      <w:r>
        <w:rPr>
          <w:rFonts w:ascii="Arial" w:hAnsi="Arial" w:cs="Arial"/>
          <w:szCs w:val="24"/>
        </w:rPr>
        <w:t xml:space="preserve"> um die Bedürfnisse unserer Kunden noch besser zu bedienen. Gemeinsam mit der ITIS Holding, ihren Tochterunternehmen </w:t>
      </w:r>
      <w:r>
        <w:rPr>
          <w:rFonts w:ascii="Arial" w:hAnsi="Arial" w:cs="Arial"/>
          <w:szCs w:val="24"/>
        </w:rPr>
        <w:lastRenderedPageBreak/>
        <w:t>und unter dem Dach der PPF-Gruppe bilden wir einen starken Global Player, um neue Branchenstandards zu setzen und fortschrittliche Lösungen zu liefern, die unseren Kunden einen weiteren Mehrwert für eine noch sicherere und nachhaltige Welt bieten.“ sagt Daniel Scholz-Stein, CEO der VITRONIC Gruppe.</w:t>
      </w:r>
    </w:p>
    <w:p>
      <w:pPr>
        <w:pStyle w:val="StandardWeb"/>
        <w:spacing w:line="360" w:lineRule="auto"/>
        <w:rPr>
          <w:rFonts w:ascii="Arial" w:hAnsi="Arial" w:cs="Arial"/>
          <w:color w:val="0F243E" w:themeColor="text2" w:themeShade="80"/>
          <w:sz w:val="18"/>
          <w:szCs w:val="18"/>
          <w:u w:val="single"/>
        </w:rPr>
      </w:pPr>
      <w:r>
        <w:rPr>
          <w:rStyle w:val="ui-provider"/>
          <w:rFonts w:ascii="Arial" w:hAnsi="Arial" w:cs="Arial"/>
        </w:rPr>
        <w:t>Der Abschluss der Transaktion steht unter dem Vorbehalt der Prüfung durch die Kartellbehörden in</w:t>
      </w:r>
      <w:r>
        <w:rPr>
          <w:rFonts w:ascii="Arial" w:hAnsi="Arial" w:cs="Arial"/>
        </w:rPr>
        <w:br/>
      </w:r>
      <w:r>
        <w:rPr>
          <w:rStyle w:val="ui-provider"/>
          <w:rFonts w:ascii="Arial" w:hAnsi="Arial" w:cs="Arial"/>
        </w:rPr>
        <w:t>Deutschland und anderen Ländern. Die Parteien haben beschlossen, die finanziellen Parameter der Transaktion nicht offen zu legen.</w:t>
      </w:r>
      <w:r>
        <w:rPr>
          <w:rFonts w:ascii="Arial" w:hAnsi="Arial" w:cs="Arial"/>
          <w:color w:val="0F243E" w:themeColor="text2" w:themeShade="80"/>
          <w:sz w:val="18"/>
          <w:szCs w:val="18"/>
          <w:u w:val="single"/>
        </w:rPr>
        <w:t xml:space="preserve"> </w:t>
      </w:r>
    </w:p>
    <w:p>
      <w:pPr>
        <w:pStyle w:val="StandardWeb"/>
        <w:spacing w:line="360" w:lineRule="auto"/>
        <w:rPr>
          <w:rFonts w:ascii="Arial" w:hAnsi="Arial" w:cs="Arial"/>
          <w:color w:val="0F243E" w:themeColor="text2" w:themeShade="80"/>
          <w:sz w:val="18"/>
          <w:szCs w:val="18"/>
          <w:u w:val="single"/>
        </w:rPr>
      </w:pPr>
      <w:r>
        <w:rPr>
          <w:rFonts w:ascii="Arial" w:hAnsi="Arial" w:cs="Arial"/>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1.400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 und Südamerika, Europa, Mittlerer Osten, Asien, Afrika und Ozeanien sowie ein weltweites Netzwerk von Vertriebs- und Servicepartnern betreuen die internationalen Kunden vor Ort.</w:t>
      </w:r>
    </w:p>
    <w:p>
      <w:pPr>
        <w:spacing w:before="100" w:beforeAutospacing="1" w:after="100" w:afterAutospacing="1"/>
        <w:rPr>
          <w:rFonts w:ascii="Arial" w:hAnsi="Arial" w:cs="Arial"/>
          <w:color w:val="0F243E" w:themeColor="text2" w:themeShade="80"/>
          <w:sz w:val="18"/>
          <w:szCs w:val="18"/>
        </w:rPr>
      </w:pPr>
    </w:p>
    <w:p>
      <w:pPr>
        <w:pStyle w:val="HTMLVorformatiert"/>
        <w:spacing w:before="100" w:beforeAutospacing="1" w:after="100" w:afterAutospacing="1" w:line="360" w:lineRule="auto"/>
        <w:rPr>
          <w:rStyle w:val="y2iqfc"/>
          <w:rFonts w:ascii="Arial" w:hAnsi="Arial" w:cs="Arial"/>
          <w:b/>
          <w:bCs/>
          <w:sz w:val="18"/>
          <w:szCs w:val="18"/>
          <w:u w:val="single"/>
        </w:rPr>
      </w:pPr>
      <w:r>
        <w:rPr>
          <w:rStyle w:val="y2iqfc"/>
          <w:rFonts w:ascii="Arial" w:hAnsi="Arial" w:cs="Arial"/>
          <w:b/>
          <w:bCs/>
          <w:sz w:val="18"/>
          <w:szCs w:val="18"/>
          <w:u w:val="single"/>
        </w:rPr>
        <w:t>Über die ITIS Holding</w:t>
      </w:r>
    </w:p>
    <w:p>
      <w:pPr>
        <w:pStyle w:val="HTMLVorformatiert"/>
        <w:spacing w:before="100" w:beforeAutospacing="1" w:after="100" w:afterAutospacing="1" w:line="360" w:lineRule="auto"/>
        <w:rPr>
          <w:rStyle w:val="y2iqfc"/>
          <w:rFonts w:ascii="Arial" w:hAnsi="Arial" w:cs="Arial"/>
          <w:sz w:val="18"/>
          <w:szCs w:val="18"/>
        </w:rPr>
      </w:pPr>
      <w:r>
        <w:rPr>
          <w:rStyle w:val="y2iqfc"/>
          <w:rFonts w:ascii="Arial" w:hAnsi="Arial" w:cs="Arial"/>
          <w:sz w:val="18"/>
          <w:szCs w:val="18"/>
        </w:rPr>
        <w:t xml:space="preserve">Bei der ITIS Holding konzentrieren wir uns auf die Entwicklung modernster Technologien für die Verkehrsinfrastruktur und Automatisierung. Unser Engagement für Innovation und unsere Liebe zum Detail ermöglichen es uns, unsere Kunden bei der Erreichung anspruchsvoller Nachhaltigkeits- und Klimaschutzziele zu unterstützen. Unsere Teams bieten innovative und anspruchsvolle Dienstleistungen zur Verbesserung des Verkehrsmanagements und der Verkehrsregulierung, sowohl in ländlichen als auch in städtischen Gebieten. Mit der soliden Kapitalbasis, dem Wissen und der umfangreichen Erfahrung unserer Aktionäre ist die ITIS Holding gut positioniert, um das Wachstum sowohl organisch als auch durch strategische Akquisitionen zu beschleunigen. Mehr dazu </w:t>
      </w:r>
      <w:r>
        <w:rPr>
          <w:rStyle w:val="y2iqfc"/>
          <w:rFonts w:ascii="Arial" w:hAnsi="Arial" w:cs="Arial"/>
          <w:sz w:val="18"/>
          <w:szCs w:val="18"/>
        </w:rPr>
        <w:t>www.itisholding.com</w:t>
      </w:r>
    </w:p>
    <w:p>
      <w:pPr>
        <w:pStyle w:val="HTMLVorformatiert"/>
        <w:spacing w:before="100" w:beforeAutospacing="1" w:after="100" w:afterAutospacing="1" w:line="360" w:lineRule="auto"/>
        <w:rPr>
          <w:rStyle w:val="y2iqfc"/>
          <w:rFonts w:ascii="Arial" w:hAnsi="Arial" w:cs="Arial"/>
          <w:sz w:val="18"/>
          <w:szCs w:val="18"/>
        </w:rPr>
      </w:pPr>
      <w:r>
        <w:rPr>
          <w:rStyle w:val="y2iqfc"/>
          <w:rFonts w:ascii="Arial" w:hAnsi="Arial" w:cs="Arial"/>
          <w:sz w:val="18"/>
          <w:szCs w:val="18"/>
        </w:rPr>
        <w:t xml:space="preserve">Die PPF Group ist in 24 Ländern tätig und investiert in Finanzdienstleistungen, Telekommunikation, Medien, E-Commerce und andere Sektoren, darunter Immobilien, Biotechnologie und Transport. PPF ist Mehrheitsaktionär von Skoda Transportation, einem führenden europäischen Hersteller von Fahrzeugen für den öffentlichen Nahverkehr. Im Jahr 2022 wurde die ITIS Holding mit dem Ziel gegründet, die Gruppe im Bereich intelligenter Transportsystemlösungen zu positionieren. Die geografische Reichweite der PPF Group erstreckt sich über Europa, Nordamerika, Asien und Afrika. Die Gruppe besitzt Vermögenswerte im Wert von 43,5 Milliarden Euro und beschäftigt weltweit 52.000 Mitarbeiter (30. Juni 2023). Mehr dazu </w:t>
      </w:r>
      <w:r>
        <w:rPr>
          <w:rStyle w:val="y2iqfc"/>
          <w:rFonts w:ascii="Arial" w:hAnsi="Arial" w:cs="Arial"/>
          <w:sz w:val="18"/>
          <w:szCs w:val="18"/>
        </w:rPr>
        <w:t>www.ppf.eu.</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 xml:space="preserve">VITRONIC </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Britta Weiser</w:t>
            </w:r>
          </w:p>
          <w:p>
            <w:pPr>
              <w:spacing w:line="200" w:lineRule="exact"/>
              <w:ind w:right="567"/>
              <w:jc w:val="both"/>
              <w:rPr>
                <w:rFonts w:ascii="Arial" w:hAnsi="Arial" w:cs="Arial"/>
                <w:color w:val="0F243E" w:themeColor="text2" w:themeShade="80"/>
                <w:sz w:val="18"/>
                <w:szCs w:val="18"/>
                <w:lang w:val="fr-FR"/>
              </w:rPr>
            </w:pPr>
            <w:proofErr w:type="spellStart"/>
            <w:r>
              <w:rPr>
                <w:rFonts w:ascii="Arial" w:hAnsi="Arial" w:cs="Arial"/>
                <w:color w:val="0F243E" w:themeColor="text2" w:themeShade="80"/>
                <w:sz w:val="18"/>
                <w:szCs w:val="18"/>
                <w:lang w:val="fr-FR"/>
              </w:rPr>
              <w:t>Director</w:t>
            </w:r>
            <w:proofErr w:type="spellEnd"/>
            <w:r>
              <w:rPr>
                <w:rFonts w:ascii="Arial" w:hAnsi="Arial" w:cs="Arial"/>
                <w:color w:val="0F243E" w:themeColor="text2" w:themeShade="80"/>
                <w:sz w:val="18"/>
                <w:szCs w:val="18"/>
                <w:lang w:val="fr-FR"/>
              </w:rPr>
              <w:t xml:space="preserve"> Global Marketing </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britta.weiser@vitronic.com</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www.vitronic.com</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    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    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    Hasengartenstr. 14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    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 xml:space="preserve">    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    Fax: </w:t>
            </w:r>
            <w:r>
              <w:rPr>
                <w:rFonts w:ascii="Arial" w:hAnsi="Arial" w:cs="Arial"/>
                <w:color w:val="0F243E" w:themeColor="text2" w:themeShade="80"/>
                <w:sz w:val="18"/>
                <w:szCs w:val="18"/>
              </w:rPr>
              <w:tab/>
              <w:t>+49 611 7152 133</w:t>
            </w:r>
          </w:p>
        </w:tc>
      </w:tr>
    </w:tbl>
    <w:p>
      <w:pPr>
        <w:rPr>
          <w:rFonts w:ascii="Arial" w:hAnsi="Arial" w:cs="Arial"/>
          <w:sz w:val="20"/>
        </w:rPr>
      </w:pPr>
    </w:p>
    <w:p>
      <w:pPr>
        <w:rPr>
          <w:rFonts w:ascii="Arial" w:hAnsi="Arial" w:cs="Arial"/>
          <w:sz w:val="20"/>
        </w:rPr>
      </w:pPr>
    </w:p>
    <w:p>
      <w:pPr>
        <w:rPr>
          <w:rFonts w:ascii="Arial" w:hAnsi="Arial" w:cs="Arial"/>
          <w:sz w:val="20"/>
        </w:rPr>
      </w:pPr>
    </w:p>
    <w:p>
      <w:pPr>
        <w:ind w:left="142"/>
        <w:rPr>
          <w:rFonts w:ascii="Arial" w:hAnsi="Arial" w:cs="Arial"/>
          <w:sz w:val="18"/>
          <w:szCs w:val="18"/>
          <w:lang w:val="en-US"/>
        </w:rPr>
      </w:pPr>
      <w:r>
        <w:rPr>
          <w:rFonts w:ascii="Arial" w:hAnsi="Arial" w:cs="Arial"/>
          <w:bCs/>
          <w:sz w:val="18"/>
          <w:szCs w:val="18"/>
          <w:lang w:val="en-GB"/>
        </w:rPr>
        <w:t>ITIS</w:t>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 xml:space="preserve">       </w:t>
      </w:r>
      <w:proofErr w:type="spellStart"/>
      <w:r>
        <w:rPr>
          <w:rFonts w:ascii="Arial" w:hAnsi="Arial" w:cs="Arial"/>
          <w:bCs/>
          <w:sz w:val="18"/>
          <w:szCs w:val="18"/>
          <w:lang w:val="en-GB"/>
        </w:rPr>
        <w:t>ITIS</w:t>
      </w:r>
      <w:proofErr w:type="spellEnd"/>
      <w:r>
        <w:rPr>
          <w:rFonts w:ascii="Arial" w:hAnsi="Arial" w:cs="Arial"/>
          <w:bCs/>
          <w:sz w:val="18"/>
          <w:szCs w:val="18"/>
          <w:lang w:val="en-GB"/>
        </w:rPr>
        <w:t xml:space="preserve"> Holding a. s.</w:t>
      </w:r>
      <w:r>
        <w:rPr>
          <w:rFonts w:ascii="Arial" w:hAnsi="Arial" w:cs="Arial"/>
          <w:bCs/>
          <w:sz w:val="18"/>
          <w:szCs w:val="18"/>
          <w:lang w:val="en-GB"/>
        </w:rPr>
        <w:tab/>
      </w:r>
    </w:p>
    <w:p>
      <w:pPr>
        <w:pStyle w:val="xxmsonormal"/>
        <w:ind w:left="142"/>
        <w:rPr>
          <w:bCs/>
          <w:color w:val="auto"/>
          <w:sz w:val="18"/>
          <w:szCs w:val="18"/>
          <w:lang w:val="en-US" w:eastAsia="en-US"/>
        </w:rPr>
      </w:pPr>
      <w:r>
        <w:rPr>
          <w:bCs/>
          <w:sz w:val="18"/>
          <w:szCs w:val="18"/>
          <w:lang w:val="en-US"/>
        </w:rPr>
        <w:t xml:space="preserve">Miroslav </w:t>
      </w:r>
      <w:proofErr w:type="spellStart"/>
      <w:r>
        <w:rPr>
          <w:bCs/>
          <w:sz w:val="18"/>
          <w:szCs w:val="18"/>
          <w:lang w:val="en-US"/>
        </w:rPr>
        <w:t>Beneš</w:t>
      </w:r>
      <w:proofErr w:type="spellEnd"/>
      <w:r>
        <w:rPr>
          <w:bCs/>
          <w:sz w:val="18"/>
          <w:szCs w:val="18"/>
          <w:lang w:val="en-US"/>
        </w:rPr>
        <w:tab/>
      </w:r>
      <w:r>
        <w:rPr>
          <w:bCs/>
          <w:sz w:val="18"/>
          <w:szCs w:val="18"/>
          <w:lang w:val="en-US"/>
        </w:rPr>
        <w:tab/>
      </w:r>
      <w:r>
        <w:rPr>
          <w:bCs/>
          <w:sz w:val="18"/>
          <w:szCs w:val="18"/>
          <w:lang w:val="en-US"/>
        </w:rPr>
        <w:tab/>
      </w:r>
      <w:r>
        <w:rPr>
          <w:bCs/>
          <w:sz w:val="18"/>
          <w:szCs w:val="18"/>
          <w:lang w:val="en-US"/>
        </w:rPr>
        <w:tab/>
      </w:r>
      <w:r>
        <w:rPr>
          <w:bCs/>
          <w:sz w:val="18"/>
          <w:szCs w:val="18"/>
          <w:lang w:val="en-US"/>
        </w:rPr>
        <w:t xml:space="preserve">       </w:t>
      </w:r>
      <w:proofErr w:type="spellStart"/>
      <w:r>
        <w:rPr>
          <w:bCs/>
          <w:sz w:val="18"/>
          <w:szCs w:val="18"/>
          <w:lang w:val="en-US"/>
        </w:rPr>
        <w:t>Argentinská</w:t>
      </w:r>
      <w:proofErr w:type="spellEnd"/>
      <w:r>
        <w:rPr>
          <w:bCs/>
          <w:sz w:val="18"/>
          <w:szCs w:val="18"/>
          <w:lang w:val="en-US"/>
        </w:rPr>
        <w:t xml:space="preserve"> 1610/4</w:t>
      </w:r>
      <w:r>
        <w:rPr>
          <w:bCs/>
          <w:sz w:val="18"/>
          <w:szCs w:val="18"/>
          <w:lang w:val="en-US"/>
        </w:rPr>
        <w:tab/>
      </w:r>
      <w:r>
        <w:rPr>
          <w:bCs/>
          <w:sz w:val="18"/>
          <w:szCs w:val="18"/>
          <w:lang w:val="en-US"/>
        </w:rPr>
        <w:tab/>
      </w:r>
    </w:p>
    <w:p>
      <w:pPr>
        <w:ind w:left="142"/>
        <w:rPr>
          <w:rFonts w:ascii="Arial" w:hAnsi="Arial" w:cs="Arial"/>
          <w:bCs/>
          <w:sz w:val="18"/>
          <w:szCs w:val="18"/>
          <w:lang w:val="en-US"/>
        </w:rPr>
      </w:pPr>
      <w:r>
        <w:rPr>
          <w:rFonts w:ascii="Arial" w:hAnsi="Arial" w:cs="Arial"/>
          <w:bCs/>
          <w:sz w:val="18"/>
          <w:szCs w:val="18"/>
          <w:lang w:val="en-US"/>
        </w:rPr>
        <w:t>Communication and PR Strategy Manager       170 00 Praha 7</w:t>
      </w:r>
    </w:p>
    <w:p>
      <w:pPr>
        <w:ind w:left="142"/>
        <w:rPr>
          <w:rFonts w:ascii="Arial" w:hAnsi="Arial" w:cs="Arial"/>
          <w:bCs/>
          <w:sz w:val="18"/>
          <w:szCs w:val="18"/>
          <w:lang w:val="en-US"/>
        </w:rPr>
      </w:pPr>
      <w:r>
        <w:rPr>
          <w:rFonts w:ascii="Arial" w:hAnsi="Arial" w:cs="Arial"/>
          <w:bCs/>
          <w:sz w:val="18"/>
          <w:szCs w:val="18"/>
          <w:lang w:val="en-US"/>
        </w:rPr>
        <w:t xml:space="preserve">+420 603 174 347 </w:t>
      </w:r>
      <w:r>
        <w:rPr>
          <w:rFonts w:ascii="Arial" w:hAnsi="Arial" w:cs="Arial"/>
          <w:bCs/>
          <w:sz w:val="18"/>
          <w:szCs w:val="18"/>
          <w:lang w:val="en-US"/>
        </w:rPr>
        <w:tab/>
      </w:r>
      <w:r>
        <w:rPr>
          <w:rFonts w:ascii="Arial" w:hAnsi="Arial" w:cs="Arial"/>
          <w:bCs/>
          <w:sz w:val="18"/>
          <w:szCs w:val="18"/>
          <w:lang w:val="en-US"/>
        </w:rPr>
        <w:tab/>
      </w:r>
      <w:r>
        <w:rPr>
          <w:rFonts w:ascii="Arial" w:hAnsi="Arial" w:cs="Arial"/>
          <w:bCs/>
          <w:sz w:val="18"/>
          <w:szCs w:val="18"/>
          <w:lang w:val="en-US"/>
        </w:rPr>
        <w:tab/>
        <w:t xml:space="preserve">       Czech </w:t>
      </w:r>
      <w:proofErr w:type="spellStart"/>
      <w:r>
        <w:rPr>
          <w:rFonts w:ascii="Arial" w:hAnsi="Arial" w:cs="Arial"/>
          <w:bCs/>
          <w:sz w:val="18"/>
          <w:szCs w:val="18"/>
          <w:lang w:val="en-US"/>
        </w:rPr>
        <w:t>Republik</w:t>
      </w:r>
      <w:proofErr w:type="spellEnd"/>
    </w:p>
    <w:p>
      <w:pPr>
        <w:ind w:left="142"/>
        <w:rPr>
          <w:rFonts w:ascii="Arial" w:hAnsi="Arial" w:cs="Arial"/>
          <w:sz w:val="20"/>
          <w:lang w:val="en-US"/>
        </w:rPr>
      </w:pPr>
      <w:hyperlink r:id="rId10" w:history="1">
        <w:r>
          <w:rPr>
            <w:rStyle w:val="Hyperlink"/>
            <w:rFonts w:ascii="Arial" w:hAnsi="Arial" w:cs="Arial"/>
            <w:bCs/>
            <w:sz w:val="18"/>
            <w:szCs w:val="18"/>
            <w:lang w:val="en-US"/>
          </w:rPr>
          <w:t>miroslav.benes@itisholding.com</w:t>
        </w:r>
      </w:hyperlink>
      <w:r>
        <w:rPr>
          <w:rFonts w:ascii="Arial" w:hAnsi="Arial" w:cs="Arial"/>
          <w:bCs/>
          <w:sz w:val="18"/>
          <w:szCs w:val="18"/>
          <w:lang w:val="en-US"/>
        </w:rPr>
        <w:t xml:space="preserve"> </w:t>
      </w:r>
      <w:r>
        <w:rPr>
          <w:rFonts w:ascii="Arial" w:hAnsi="Arial" w:cs="Arial"/>
          <w:bCs/>
          <w:sz w:val="18"/>
          <w:szCs w:val="18"/>
          <w:lang w:val="en-US"/>
        </w:rPr>
        <w:tab/>
      </w:r>
    </w:p>
    <w:sectPr>
      <w:headerReference w:type="even" r:id="rId11"/>
      <w:headerReference w:type="default" r:id="rId12"/>
      <w:footerReference w:type="even" r:id="rId13"/>
      <w:footerReference w:type="default" r:id="rId14"/>
      <w:headerReference w:type="first" r:id="rId15"/>
      <w:footerReference w:type="first" r:id="rId16"/>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rPr>
  </w:style>
  <w:style w:type="character" w:customStyle="1" w:styleId="y2iqfc">
    <w:name w:val="y2iqfc"/>
    <w:basedOn w:val="Absatz-Standardschriftart"/>
  </w:style>
  <w:style w:type="character" w:customStyle="1" w:styleId="ui-provider">
    <w:name w:val="ui-provider"/>
    <w:basedOn w:val="Absatz-Standardschriftart"/>
  </w:style>
  <w:style w:type="paragraph" w:customStyle="1" w:styleId="xxmsonormal">
    <w:name w:val="x_x_msonormal"/>
    <w:basedOn w:val="Standard"/>
    <w:rPr>
      <w:rFonts w:ascii="Arial" w:eastAsiaTheme="minorHAnsi" w:hAnsi="Arial" w:cs="Arial"/>
      <w:color w:val="001E46"/>
      <w:sz w:val="22"/>
      <w:szCs w:val="22"/>
      <w:u w:color="000000"/>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7735">
      <w:bodyDiv w:val="1"/>
      <w:marLeft w:val="0"/>
      <w:marRight w:val="0"/>
      <w:marTop w:val="0"/>
      <w:marBottom w:val="0"/>
      <w:divBdr>
        <w:top w:val="none" w:sz="0" w:space="0" w:color="auto"/>
        <w:left w:val="none" w:sz="0" w:space="0" w:color="auto"/>
        <w:bottom w:val="none" w:sz="0" w:space="0" w:color="auto"/>
        <w:right w:val="none" w:sz="0" w:space="0" w:color="auto"/>
      </w:divBdr>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131482796">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434129547">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606379806">
      <w:bodyDiv w:val="1"/>
      <w:marLeft w:val="0"/>
      <w:marRight w:val="0"/>
      <w:marTop w:val="0"/>
      <w:marBottom w:val="0"/>
      <w:divBdr>
        <w:top w:val="none" w:sz="0" w:space="0" w:color="auto"/>
        <w:left w:val="none" w:sz="0" w:space="0" w:color="auto"/>
        <w:bottom w:val="none" w:sz="0" w:space="0" w:color="auto"/>
        <w:right w:val="none" w:sz="0" w:space="0" w:color="auto"/>
      </w:divBdr>
      <w:divsChild>
        <w:div w:id="1265503909">
          <w:marLeft w:val="0"/>
          <w:marRight w:val="0"/>
          <w:marTop w:val="0"/>
          <w:marBottom w:val="0"/>
          <w:divBdr>
            <w:top w:val="none" w:sz="0" w:space="0" w:color="auto"/>
            <w:left w:val="none" w:sz="0" w:space="0" w:color="auto"/>
            <w:bottom w:val="none" w:sz="0" w:space="0" w:color="auto"/>
            <w:right w:val="none" w:sz="0" w:space="0" w:color="auto"/>
          </w:divBdr>
          <w:divsChild>
            <w:div w:id="127480684">
              <w:marLeft w:val="0"/>
              <w:marRight w:val="0"/>
              <w:marTop w:val="0"/>
              <w:marBottom w:val="0"/>
              <w:divBdr>
                <w:top w:val="none" w:sz="0" w:space="0" w:color="auto"/>
                <w:left w:val="none" w:sz="0" w:space="0" w:color="auto"/>
                <w:bottom w:val="none" w:sz="0" w:space="0" w:color="auto"/>
                <w:right w:val="none" w:sz="0" w:space="0" w:color="auto"/>
              </w:divBdr>
              <w:divsChild>
                <w:div w:id="188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iroslav.benes@itishold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dc4758-f9f3-4e18-9358-2934e19b062b">
      <Terms xmlns="http://schemas.microsoft.com/office/infopath/2007/PartnerControls"/>
    </lcf76f155ced4ddcb4097134ff3c332f>
    <TaxCatchAll xmlns="a1784d93-18bd-45ea-ab6b-4ead8b850318" xsi:nil="true"/>
    <SharedWithUsers xmlns="a1784d93-18bd-45ea-ab6b-4ead8b850318">
      <UserInfo>
        <DisplayName>Daniel Scholz-Stein</DisplayName>
        <AccountId>19</AccountId>
        <AccountType/>
      </UserInfo>
      <UserInfo>
        <DisplayName>Matthias Pörner</DisplayName>
        <AccountId>23</AccountId>
        <AccountType/>
      </UserInfo>
      <UserInfo>
        <DisplayName>Heiko Frohn</DisplayName>
        <AccountId>22</AccountId>
        <AccountType/>
      </UserInfo>
      <UserInfo>
        <DisplayName>Isabelle Straßburger</DisplayName>
        <AccountId>20</AccountId>
        <AccountType/>
      </UserInfo>
      <UserInfo>
        <DisplayName>Nadine Rübenacker</DisplayName>
        <AccountId>15</AccountId>
        <AccountType/>
      </UserInfo>
      <UserInfo>
        <DisplayName>Norbert Stein</DisplayName>
        <AccountId>31</AccountId>
        <AccountType/>
      </UserInfo>
      <UserInfo>
        <DisplayName>Birgit Voigt</DisplayName>
        <AccountId>42</AccountId>
        <AccountType/>
      </UserInfo>
      <UserInfo>
        <DisplayName>Sebastian Ramb</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96556A31A1964187931404C820E33C" ma:contentTypeVersion="12" ma:contentTypeDescription="Ein neues Dokument erstellen." ma:contentTypeScope="" ma:versionID="288e061a2c809f7968011ad4a30cc53c">
  <xsd:schema xmlns:xsd="http://www.w3.org/2001/XMLSchema" xmlns:xs="http://www.w3.org/2001/XMLSchema" xmlns:p="http://schemas.microsoft.com/office/2006/metadata/properties" xmlns:ns2="28dc4758-f9f3-4e18-9358-2934e19b062b" xmlns:ns3="a1784d93-18bd-45ea-ab6b-4ead8b850318" targetNamespace="http://schemas.microsoft.com/office/2006/metadata/properties" ma:root="true" ma:fieldsID="35530b5dcd6612ef1edb22e86342f430" ns2:_="" ns3:_="">
    <xsd:import namespace="28dc4758-f9f3-4e18-9358-2934e19b062b"/>
    <xsd:import namespace="a1784d93-18bd-45ea-ab6b-4ead8b8503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c4758-f9f3-4e18-9358-2934e19b0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9262ebf-39b5-417c-aa54-8f6cdab8299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84d93-18bd-45ea-ab6b-4ead8b8503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2aa5f461-317d-4588-83ec-f4a4842d1687}" ma:internalName="TaxCatchAll" ma:showField="CatchAllData" ma:web="a1784d93-18bd-45ea-ab6b-4ead8b850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C5171-73CF-4950-88FC-514B5E749886}">
  <ds:schemaRefs>
    <ds:schemaRef ds:uri="http://schemas.microsoft.com/sharepoint/v3/contenttype/forms"/>
  </ds:schemaRefs>
</ds:datastoreItem>
</file>

<file path=customXml/itemProps2.xml><?xml version="1.0" encoding="utf-8"?>
<ds:datastoreItem xmlns:ds="http://schemas.openxmlformats.org/officeDocument/2006/customXml" ds:itemID="{96DEDBFA-48D9-4F11-97EE-1D760193C2C7}">
  <ds:schemaRefs>
    <ds:schemaRef ds:uri="http://schemas.microsoft.com/office/2006/metadata/properties"/>
    <ds:schemaRef ds:uri="http://schemas.microsoft.com/office/infopath/2007/PartnerControls"/>
    <ds:schemaRef ds:uri="28dc4758-f9f3-4e18-9358-2934e19b062b"/>
    <ds:schemaRef ds:uri="a1784d93-18bd-45ea-ab6b-4ead8b850318"/>
  </ds:schemaRefs>
</ds:datastoreItem>
</file>

<file path=customXml/itemProps3.xml><?xml version="1.0" encoding="utf-8"?>
<ds:datastoreItem xmlns:ds="http://schemas.openxmlformats.org/officeDocument/2006/customXml" ds:itemID="{19DB471A-79DF-4CAF-8817-4FF5B827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c4758-f9f3-4e18-9358-2934e19b062b"/>
    <ds:schemaRef ds:uri="a1784d93-18bd-45ea-ab6b-4ead8b85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6</cp:revision>
  <cp:lastPrinted>2016-09-14T08:41:00Z</cp:lastPrinted>
  <dcterms:created xsi:type="dcterms:W3CDTF">2024-01-30T15:49:00Z</dcterms:created>
  <dcterms:modified xsi:type="dcterms:W3CDTF">2024-01-30T20:43:00Z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0x0101004996556A31A1964187931404C820E33C</vt:lpwstr>
  </property>
  <property fmtid="{D5CDD505-2E9C-101B-9397-08002B2CF9AE}" pid="3" name="MediaServiceImageTags">
    <vt:lpwstr/>
  </property>
</Properties>
</file>